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 </w:t>
      </w:r>
      <w:r w:rsidR="00696DA4">
        <w:rPr>
          <w:b/>
        </w:rPr>
        <w:t>8</w:t>
      </w:r>
      <w:r w:rsidR="00F05C36">
        <w:rPr>
          <w:b/>
        </w:rPr>
        <w:t xml:space="preserve"> évfolyamos </w:t>
      </w:r>
      <w:r w:rsidR="00C108E2">
        <w:rPr>
          <w:b/>
        </w:rPr>
        <w:t>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620CF6">
        <w:rPr>
          <w:b/>
        </w:rPr>
        <w:t>10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620CF6">
        <w:t>10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620CF6">
        <w:t>Welttour</w:t>
      </w:r>
      <w:proofErr w:type="spellEnd"/>
      <w:r w:rsidR="00620CF6">
        <w:t xml:space="preserve"> Deutsch 2</w:t>
      </w:r>
      <w:r w:rsidR="005C762C" w:rsidRPr="00372347">
        <w:t xml:space="preserve">. tankönyv és munkafüzet </w:t>
      </w:r>
      <w:r w:rsidR="00620CF6">
        <w:t>első</w:t>
      </w:r>
      <w:r w:rsidR="00355FB9">
        <w:t xml:space="preserve">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C76179" w:rsidRPr="00F82000" w:rsidRDefault="00F82000" w:rsidP="009479AA">
      <w:pPr>
        <w:ind w:left="0" w:firstLine="707"/>
        <w:jc w:val="both"/>
        <w:rPr>
          <w:rFonts w:eastAsia="Times New Roman" w:cs="Times New Roman"/>
          <w:color w:val="FF0000"/>
          <w:szCs w:val="24"/>
          <w:lang w:eastAsia="hu-HU"/>
        </w:rPr>
      </w:pPr>
      <w:r w:rsidRPr="006743A3">
        <w:rPr>
          <w:rFonts w:eastAsia="Times New Roman" w:cs="Times New Roman"/>
          <w:szCs w:val="24"/>
          <w:lang w:eastAsia="hu-HU"/>
        </w:rPr>
        <w:t xml:space="preserve">A tanuló képes egyszerű hangzó szövegekből kiszűrni nagyvonalakban a lényeget és néhány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konkrét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információt. Részt tud venni nagyon rövid beszélgetésekben, képes feltenni és megválaszolni kérdéseket kiszámítható, mindennapi helyzetekben. </w:t>
      </w:r>
      <w:r w:rsidRPr="006743A3">
        <w:rPr>
          <w:rFonts w:eastAsia="Times New Roman" w:cs="Times New Roman"/>
          <w:bCs/>
          <w:szCs w:val="24"/>
          <w:lang w:eastAsia="hu-HU"/>
        </w:rPr>
        <w:t xml:space="preserve">Képes ismerős témakörökben rövid szóbeli megnyilatkozásra egyszerű, begyakorolt mondatszerkezetek, betanult fordulatok, a legalapvetőbb szókincs segítségével. </w:t>
      </w:r>
      <w:r w:rsidRPr="006743A3">
        <w:rPr>
          <w:rFonts w:eastAsia="Times New Roman" w:cs="Times New Roman"/>
          <w:szCs w:val="24"/>
          <w:lang w:eastAsia="hu-HU"/>
        </w:rPr>
        <w:t xml:space="preserve">Megtalálja a szükséges </w:t>
      </w:r>
      <w:proofErr w:type="gramStart"/>
      <w:r w:rsidRPr="006743A3">
        <w:rPr>
          <w:rFonts w:eastAsia="Times New Roman" w:cs="Times New Roman"/>
          <w:szCs w:val="24"/>
          <w:lang w:eastAsia="hu-HU"/>
        </w:rPr>
        <w:t>információkat</w:t>
      </w:r>
      <w:proofErr w:type="gramEnd"/>
      <w:r w:rsidRPr="006743A3">
        <w:rPr>
          <w:rFonts w:eastAsia="Times New Roman" w:cs="Times New Roman"/>
          <w:szCs w:val="24"/>
          <w:lang w:eastAsia="hu-HU"/>
        </w:rPr>
        <w:t xml:space="preserve"> egyszerű szövegekben. Néhány egyszerű mondatban, rövid tényközlő szöveget ír őt érintő témákról minta alapján.</w:t>
      </w:r>
      <w:r w:rsidRPr="00F82000">
        <w:rPr>
          <w:rFonts w:eastAsia="Times New Roman" w:cs="Times New Roman"/>
          <w:color w:val="FF0000"/>
          <w:szCs w:val="24"/>
          <w:lang w:eastAsia="hu-HU"/>
        </w:rPr>
        <w:t xml:space="preserve"> </w:t>
      </w:r>
      <w:r w:rsidRPr="00F82000">
        <w:rPr>
          <w:rFonts w:eastAsia="Times New Roman" w:cs="Times New Roman"/>
          <w:szCs w:val="24"/>
          <w:lang w:eastAsia="hu-HU"/>
        </w:rPr>
        <w:t>(A2</w:t>
      </w:r>
      <w:r w:rsidR="00B03774">
        <w:rPr>
          <w:rFonts w:eastAsia="Times New Roman" w:cs="Times New Roman"/>
          <w:szCs w:val="24"/>
          <w:lang w:eastAsia="hu-HU"/>
        </w:rPr>
        <w:t>-</w:t>
      </w:r>
      <w:r w:rsidR="00C76179" w:rsidRPr="00F82000">
        <w:rPr>
          <w:rFonts w:eastAsia="Times New Roman" w:cs="Times New Roman"/>
          <w:szCs w:val="24"/>
          <w:lang w:eastAsia="hu-HU"/>
        </w:rPr>
        <w:t>)</w:t>
      </w:r>
    </w:p>
    <w:p w:rsidR="00CE18E5" w:rsidRPr="00372347" w:rsidRDefault="00CE18E5" w:rsidP="009479AA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</w:t>
      </w:r>
      <w:proofErr w:type="gramStart"/>
      <w:r w:rsidR="00BF7448" w:rsidRPr="00372347">
        <w:t>szaktanára</w:t>
      </w:r>
      <w:proofErr w:type="gramEnd"/>
      <w:r w:rsidR="00BF7448" w:rsidRPr="00372347">
        <w:t xml:space="preserve">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C57666" w:rsidRDefault="00C57666">
      <w:pPr>
        <w:rPr>
          <w:i/>
        </w:rPr>
      </w:pPr>
      <w:r>
        <w:rPr>
          <w:i/>
        </w:rPr>
        <w:br w:type="page"/>
      </w:r>
    </w:p>
    <w:p w:rsidR="00F82000" w:rsidRPr="006743A3" w:rsidRDefault="00F82000" w:rsidP="00F82000">
      <w:pPr>
        <w:spacing w:line="360" w:lineRule="auto"/>
        <w:jc w:val="both"/>
        <w:rPr>
          <w:rFonts w:eastAsia="Times New Roman" w:cs="Times New Roman"/>
          <w:b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F82000" w:rsidRPr="006743A3" w:rsidTr="00EA28A0">
        <w:tc>
          <w:tcPr>
            <w:tcW w:w="5000" w:type="pct"/>
            <w:gridSpan w:val="2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1</w:t>
            </w:r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>0</w:t>
            </w:r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.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Wie war das Hotel?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Schöner als erwartet.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Véleménykérés és arra </w:t>
            </w:r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Gefällt dir der Film?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Ja, der Film gefällt mir gut.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Egyetértés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ist richtig. Das stimmt.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Akarat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will ich nicht.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Képesség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Das kann ich machen.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Lehetőség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ist möglich, dass…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Remény kifejezése 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hoffe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,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du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kommen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kannst</w:t>
            </w:r>
            <w:proofErr w:type="spellEnd"/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 xml:space="preserve">Bizonyosság,  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bizonytalanság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Ich weiß es genau. Ich bin mir nicht sicher.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Kérés és arra történő reakció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Kannst du mir helfen? Ja, gerne.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Kínálás, illetve javaslat és arra történő reakció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Würdest du gerne einen Tee trinken?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Nein, danke, ich habe keinen Durst.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Meghívás és arra történő reakció kifejezése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Kommst du mit?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Es geht leider nicht.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eastAsia="hu-HU"/>
              </w:rPr>
              <w:t>Visszakérdezés kifejezése nem értés esetén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iCs/>
                <w:szCs w:val="24"/>
                <w:lang w:val="de-DE" w:eastAsia="hu-HU"/>
              </w:rPr>
              <w:t>Wiederhole, bitte!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Öröm kifejezése </w:t>
            </w:r>
          </w:p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freue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6743A3">
              <w:rPr>
                <w:rFonts w:eastAsia="Times New Roman" w:cs="Times New Roman"/>
                <w:szCs w:val="24"/>
                <w:lang w:eastAsia="hu-HU"/>
              </w:rPr>
              <w:t>mich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proofErr w:type="gramStart"/>
            <w:r w:rsidRPr="006743A3">
              <w:rPr>
                <w:rFonts w:eastAsia="Times New Roman" w:cs="Times New Roman"/>
                <w:szCs w:val="24"/>
                <w:lang w:eastAsia="hu-HU"/>
              </w:rPr>
              <w:t>dass</w:t>
            </w:r>
            <w:proofErr w:type="spellEnd"/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 ..</w:t>
            </w:r>
            <w:proofErr w:type="gramEnd"/>
            <w:r w:rsidRPr="006743A3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 xml:space="preserve">Bánat / bosszúság kifejezése 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Schade, dass…</w:t>
            </w:r>
          </w:p>
        </w:tc>
      </w:tr>
      <w:tr w:rsidR="00F82000" w:rsidRPr="006743A3" w:rsidTr="00EA28A0">
        <w:tc>
          <w:tcPr>
            <w:tcW w:w="2153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szCs w:val="24"/>
                <w:lang w:eastAsia="hu-HU"/>
              </w:rPr>
              <w:t>Események leírása</w:t>
            </w:r>
          </w:p>
        </w:tc>
        <w:tc>
          <w:tcPr>
            <w:tcW w:w="2847" w:type="pct"/>
          </w:tcPr>
          <w:p w:rsidR="00F82000" w:rsidRPr="006743A3" w:rsidRDefault="00F82000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6743A3">
              <w:rPr>
                <w:rFonts w:eastAsia="Times New Roman" w:cs="Times New Roman"/>
                <w:szCs w:val="24"/>
                <w:lang w:val="de-DE" w:eastAsia="hu-HU"/>
              </w:rPr>
              <w:t>Gestern sind wir nach Berlin gefahren.</w:t>
            </w:r>
          </w:p>
        </w:tc>
      </w:tr>
    </w:tbl>
    <w:p w:rsidR="00F82000" w:rsidRPr="006743A3" w:rsidRDefault="00F82000" w:rsidP="00F8200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F82000" w:rsidRDefault="00F82000">
      <w:pPr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br w:type="page"/>
      </w:r>
    </w:p>
    <w:p w:rsidR="00F82000" w:rsidRPr="006743A3" w:rsidRDefault="00F82000" w:rsidP="00F82000">
      <w:pPr>
        <w:rPr>
          <w:rFonts w:eastAsia="Times New Roman" w:cs="Times New Roman"/>
          <w:b/>
          <w:bCs/>
          <w:szCs w:val="24"/>
          <w:lang w:eastAsia="hu-H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F82000" w:rsidRPr="006743A3" w:rsidTr="0087115C">
        <w:trPr>
          <w:cantSplit/>
        </w:trPr>
        <w:tc>
          <w:tcPr>
            <w:tcW w:w="9540" w:type="dxa"/>
            <w:gridSpan w:val="3"/>
            <w:vAlign w:val="center"/>
          </w:tcPr>
          <w:p w:rsidR="00F82000" w:rsidRPr="00F82000" w:rsidRDefault="00F82000" w:rsidP="00F8200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1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0</w:t>
            </w:r>
            <w:r w:rsidRPr="006743A3">
              <w:rPr>
                <w:rFonts w:eastAsia="Times New Roman" w:cs="Times New Roman"/>
                <w:b/>
                <w:bCs/>
                <w:szCs w:val="24"/>
                <w:lang w:eastAsia="hu-HU"/>
              </w:rPr>
              <w:t>. évfolyamon</w:t>
            </w: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F82000" w:rsidRPr="006743A3" w:rsidRDefault="00F82000" w:rsidP="00EA28A0">
            <w:pPr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es gibt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sich-Verben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Eger gibt es ein Theater im Stadtzentrum.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freue mich über dein Geschenk.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múlt időben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Perfekt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Präteritum: war, hatte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habe gestern viel geschlafen.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Buch war sehr interessant.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jövő időben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mit Temporaladverbien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Morgen gehen wir ins Kino. 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“gehören”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Wem gehört das Fahrrad?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gehört mir/meinem Vater.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Umschreibung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Würden Sie mir folgen, bitte?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Minőségiviszonyok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Adjektivkomparation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Deutschland ist größer als Ungarn.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In der Klasse schreibt Lara am schönsten.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geradeaus, an der Kirche vorbei, um die Ecke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setze mich an den Tisch.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Ich sitze am Tisch.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</w:p>
        </w:tc>
      </w:tr>
      <w:tr w:rsidR="00F82000" w:rsidRPr="006743A3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Häufigkeit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Zeitpunkt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Uhrzeit</w:t>
            </w:r>
          </w:p>
        </w:tc>
        <w:tc>
          <w:tcPr>
            <w:tcW w:w="3121" w:type="dxa"/>
            <w:shd w:val="clear" w:color="auto" w:fill="auto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Wie oft? täglich, wöchentlich, monatlich, jährlich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Ich sehe täglich fern..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Wann? Am 12. Januar.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Gegen 8 Uhr.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Szövegkohéziós eszközök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weil, dass, ob, wenn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meiner/meine/meins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Es ist meins.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Modalverben: wollen, sollen, dürfen 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Du sollst deine Eltern ehren.</w:t>
            </w:r>
            <w:r w:rsidRPr="006743A3"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  <w:t xml:space="preserve"> 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Esetviszonyok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von + Dativ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i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Die Texte von den Schülern sind sehr interessant.</w:t>
            </w:r>
          </w:p>
        </w:tc>
      </w:tr>
      <w:tr w:rsidR="00F82000" w:rsidRPr="006743A3" w:rsidTr="00EA28A0">
        <w:trPr>
          <w:cantSplit/>
        </w:trPr>
        <w:tc>
          <w:tcPr>
            <w:tcW w:w="3299" w:type="dxa"/>
            <w:vAlign w:val="center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eastAsia="hu-HU"/>
              </w:rPr>
              <w:t>Szöveggrammatikai eszközök</w:t>
            </w:r>
          </w:p>
        </w:tc>
        <w:tc>
          <w:tcPr>
            <w:tcW w:w="3120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Artikel, Pronomen, Pronominaladverbien</w:t>
            </w:r>
          </w:p>
        </w:tc>
        <w:tc>
          <w:tcPr>
            <w:tcW w:w="3121" w:type="dxa"/>
          </w:tcPr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Worauf wartest du? Auf dem Bus?</w:t>
            </w:r>
          </w:p>
          <w:p w:rsidR="00F82000" w:rsidRPr="006743A3" w:rsidRDefault="00F82000" w:rsidP="00EA28A0">
            <w:pPr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3A3">
              <w:rPr>
                <w:rFonts w:eastAsia="Times New Roman" w:cs="Times New Roman"/>
                <w:bCs/>
                <w:szCs w:val="24"/>
                <w:lang w:val="it-IT" w:eastAsia="hu-HU"/>
              </w:rPr>
              <w:t>Ja, darauf.</w:t>
            </w:r>
          </w:p>
        </w:tc>
      </w:tr>
    </w:tbl>
    <w:p w:rsidR="007C575A" w:rsidRDefault="007C575A" w:rsidP="00F82000">
      <w:pPr>
        <w:spacing w:line="360" w:lineRule="auto"/>
        <w:jc w:val="center"/>
        <w:rPr>
          <w:i/>
        </w:rPr>
      </w:pPr>
    </w:p>
    <w:p w:rsidR="007C575A" w:rsidRDefault="007C575A">
      <w:pPr>
        <w:rPr>
          <w:i/>
        </w:rPr>
      </w:pPr>
      <w:r>
        <w:rPr>
          <w:i/>
        </w:rPr>
        <w:br w:type="page"/>
      </w:r>
    </w:p>
    <w:p w:rsidR="007C575A" w:rsidRDefault="007C575A" w:rsidP="007C575A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lastRenderedPageBreak/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 8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7C575A" w:rsidRDefault="007C575A" w:rsidP="007C575A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7C575A" w:rsidRDefault="007C575A" w:rsidP="007C575A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10</w:t>
      </w:r>
      <w:r>
        <w:rPr>
          <w:b/>
          <w:color w:val="000000" w:themeColor="text1"/>
          <w:sz w:val="32"/>
          <w:szCs w:val="32"/>
          <w:lang w:val="de-DE"/>
        </w:rPr>
        <w:t>.</w:t>
      </w:r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7C575A" w:rsidRDefault="007C575A" w:rsidP="007C575A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Eine Reise</w:t>
      </w: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Kino, Filme</w:t>
      </w: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Lernen</w:t>
      </w: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Feiertage</w:t>
      </w: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Beim Arzt</w:t>
      </w: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Verkehr</w:t>
      </w: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Fernsehen</w:t>
      </w:r>
    </w:p>
    <w:p w:rsidR="007C575A" w:rsidRPr="00342D7D" w:rsidRDefault="007C575A" w:rsidP="007C575A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Mahlzeiten</w:t>
      </w:r>
    </w:p>
    <w:p w:rsidR="007C575A" w:rsidRPr="00342D7D" w:rsidRDefault="007C575A" w:rsidP="007C575A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Weihnachten</w:t>
      </w:r>
    </w:p>
    <w:p w:rsidR="007C575A" w:rsidRDefault="007C575A" w:rsidP="007C575A">
      <w:pPr>
        <w:jc w:val="center"/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1C75F2" w:rsidRPr="00372347" w:rsidRDefault="001C75F2" w:rsidP="00F82000">
      <w:pPr>
        <w:spacing w:line="360" w:lineRule="auto"/>
        <w:jc w:val="center"/>
        <w:rPr>
          <w:i/>
        </w:rPr>
      </w:pPr>
    </w:p>
    <w:sectPr w:rsidR="001C75F2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7BF9"/>
    <w:multiLevelType w:val="hybridMultilevel"/>
    <w:tmpl w:val="C47076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74A67"/>
    <w:rsid w:val="00125914"/>
    <w:rsid w:val="00166B88"/>
    <w:rsid w:val="001816FE"/>
    <w:rsid w:val="001C35AA"/>
    <w:rsid w:val="001C75F2"/>
    <w:rsid w:val="001E0D75"/>
    <w:rsid w:val="001F07BF"/>
    <w:rsid w:val="002A7A2F"/>
    <w:rsid w:val="002E43E6"/>
    <w:rsid w:val="00355FB9"/>
    <w:rsid w:val="00372347"/>
    <w:rsid w:val="00496774"/>
    <w:rsid w:val="004A7C4D"/>
    <w:rsid w:val="004D1C71"/>
    <w:rsid w:val="00541043"/>
    <w:rsid w:val="005C762C"/>
    <w:rsid w:val="00620CF6"/>
    <w:rsid w:val="00696DA4"/>
    <w:rsid w:val="007C575A"/>
    <w:rsid w:val="00857AF6"/>
    <w:rsid w:val="0086491E"/>
    <w:rsid w:val="008A0067"/>
    <w:rsid w:val="009479AA"/>
    <w:rsid w:val="00A44C6C"/>
    <w:rsid w:val="00AA3348"/>
    <w:rsid w:val="00B03774"/>
    <w:rsid w:val="00BF07E7"/>
    <w:rsid w:val="00BF7448"/>
    <w:rsid w:val="00C108E2"/>
    <w:rsid w:val="00C57666"/>
    <w:rsid w:val="00C76179"/>
    <w:rsid w:val="00CE18E5"/>
    <w:rsid w:val="00CF48B8"/>
    <w:rsid w:val="00D46469"/>
    <w:rsid w:val="00DD11EC"/>
    <w:rsid w:val="00E83276"/>
    <w:rsid w:val="00EB2D3F"/>
    <w:rsid w:val="00ED28EB"/>
    <w:rsid w:val="00F05C36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4F50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737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8</cp:revision>
  <cp:lastPrinted>2021-11-18T07:17:00Z</cp:lastPrinted>
  <dcterms:created xsi:type="dcterms:W3CDTF">2021-12-02T15:57:00Z</dcterms:created>
  <dcterms:modified xsi:type="dcterms:W3CDTF">2022-01-07T15:00:00Z</dcterms:modified>
</cp:coreProperties>
</file>