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1E94" w14:textId="77777777" w:rsidR="007469C8" w:rsidRPr="007469C8" w:rsidRDefault="007469C8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38DB8FF1" w14:textId="1429A02B" w:rsidR="00F75C9F" w:rsidRDefault="007469C8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Osztályozóvizsga a</w:t>
      </w:r>
      <w:r w:rsidR="00F75C9F">
        <w:rPr>
          <w:rFonts w:ascii="Times New Roman" w:hAnsi="Times New Roman" w:cs="Times New Roman"/>
          <w:b/>
          <w:sz w:val="24"/>
          <w:szCs w:val="24"/>
        </w:rPr>
        <w:t>z a</w:t>
      </w:r>
      <w:r w:rsidR="00F75C9F" w:rsidRPr="00F75C9F">
        <w:rPr>
          <w:rFonts w:ascii="Times New Roman" w:hAnsi="Times New Roman" w:cs="Times New Roman"/>
          <w:b/>
          <w:sz w:val="24"/>
          <w:szCs w:val="24"/>
        </w:rPr>
        <w:t>ngol-magyar két tanítási nyelvű gimnáziumi képzés</w:t>
      </w:r>
      <w:r w:rsidR="008E5AAA">
        <w:rPr>
          <w:rFonts w:ascii="Times New Roman" w:hAnsi="Times New Roman" w:cs="Times New Roman"/>
          <w:b/>
          <w:sz w:val="24"/>
          <w:szCs w:val="24"/>
        </w:rPr>
        <w:t xml:space="preserve"> (5 év)</w:t>
      </w:r>
    </w:p>
    <w:p w14:paraId="719AF8FE" w14:textId="57B0E8B0" w:rsidR="007469C8" w:rsidRPr="007469C8" w:rsidRDefault="00F75C9F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9C8">
        <w:rPr>
          <w:rFonts w:ascii="Times New Roman" w:hAnsi="Times New Roman" w:cs="Times New Roman"/>
          <w:b/>
          <w:sz w:val="24"/>
          <w:szCs w:val="24"/>
        </w:rPr>
        <w:t>9</w:t>
      </w:r>
      <w:r w:rsidR="007469C8" w:rsidRPr="007469C8">
        <w:rPr>
          <w:rFonts w:ascii="Times New Roman" w:hAnsi="Times New Roman" w:cs="Times New Roman"/>
          <w:b/>
          <w:sz w:val="24"/>
          <w:szCs w:val="24"/>
        </w:rPr>
        <w:t>. évfolyamán</w:t>
      </w:r>
    </w:p>
    <w:p w14:paraId="74B89586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764AC" w14:textId="58F972DE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írásbeli vizsga egy 90 perces feladatlap írásbeli megoldásából áll. Az írásbeli feladatlap tartalmi jellemzői az alábbiak: legalább 6, de legfeljebb 10 feladatból áll, amelyek tananyaga a félév vagy tanév legfontosabb fejezeteinek legalább 75%-át érinti. A feladatok közül két feladat az alapfogalmak, definíciók, egyszerű összefüggések ismeretét ellenőrzi. Legalább négy (egy vagy több kérdésből álló) feladat pedig a vizsga tárgyát képező időszak legfontosabb feladattípusait tartalmazza. Az utóbbi feladatok közül két feladat könnyebb (rutinfeladatok), legalább két feladat pedig az összetettebb feladatok közül való.</w:t>
      </w:r>
    </w:p>
    <w:p w14:paraId="7D8DE5B3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47B20311" w14:textId="77777777" w:rsidR="007469C8" w:rsidRPr="00A3059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vizsga értékelése az alábbi táblázat alapján történik.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7469C8" w14:paraId="549AC28E" w14:textId="77777777" w:rsidTr="00B057EC">
        <w:tc>
          <w:tcPr>
            <w:tcW w:w="2677" w:type="dxa"/>
            <w:vAlign w:val="center"/>
          </w:tcPr>
          <w:p w14:paraId="132C8F27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85 – 100%</w:t>
            </w:r>
          </w:p>
        </w:tc>
        <w:tc>
          <w:tcPr>
            <w:tcW w:w="2410" w:type="dxa"/>
            <w:vAlign w:val="center"/>
          </w:tcPr>
          <w:p w14:paraId="2F7C74D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jeles (5)</w:t>
            </w:r>
          </w:p>
        </w:tc>
      </w:tr>
      <w:tr w:rsidR="007469C8" w14:paraId="36BDE111" w14:textId="77777777" w:rsidTr="00B057EC">
        <w:tc>
          <w:tcPr>
            <w:tcW w:w="2677" w:type="dxa"/>
            <w:vAlign w:val="center"/>
          </w:tcPr>
          <w:p w14:paraId="50269DBF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70 – 84%</w:t>
            </w:r>
          </w:p>
        </w:tc>
        <w:tc>
          <w:tcPr>
            <w:tcW w:w="2410" w:type="dxa"/>
            <w:vAlign w:val="center"/>
          </w:tcPr>
          <w:p w14:paraId="747E924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jó (4)</w:t>
            </w:r>
          </w:p>
        </w:tc>
      </w:tr>
      <w:tr w:rsidR="007469C8" w14:paraId="00B5FF05" w14:textId="77777777" w:rsidTr="00B057EC">
        <w:tc>
          <w:tcPr>
            <w:tcW w:w="2677" w:type="dxa"/>
            <w:vAlign w:val="center"/>
          </w:tcPr>
          <w:p w14:paraId="2D70230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55 – 69%</w:t>
            </w:r>
          </w:p>
        </w:tc>
        <w:tc>
          <w:tcPr>
            <w:tcW w:w="2410" w:type="dxa"/>
            <w:vAlign w:val="center"/>
          </w:tcPr>
          <w:p w14:paraId="41FC2220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közepes (3)</w:t>
            </w:r>
          </w:p>
        </w:tc>
      </w:tr>
      <w:tr w:rsidR="007469C8" w14:paraId="189B5B2D" w14:textId="77777777" w:rsidTr="00B057EC">
        <w:tc>
          <w:tcPr>
            <w:tcW w:w="2677" w:type="dxa"/>
            <w:vAlign w:val="center"/>
          </w:tcPr>
          <w:p w14:paraId="61050AAD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40 – 54%</w:t>
            </w:r>
          </w:p>
        </w:tc>
        <w:tc>
          <w:tcPr>
            <w:tcW w:w="2410" w:type="dxa"/>
            <w:vAlign w:val="center"/>
          </w:tcPr>
          <w:p w14:paraId="197780F8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elégséges (2)</w:t>
            </w:r>
          </w:p>
        </w:tc>
      </w:tr>
      <w:tr w:rsidR="007469C8" w14:paraId="401C18F7" w14:textId="77777777" w:rsidTr="00B057EC">
        <w:tc>
          <w:tcPr>
            <w:tcW w:w="2677" w:type="dxa"/>
            <w:vAlign w:val="center"/>
          </w:tcPr>
          <w:p w14:paraId="1B057FDA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 xml:space="preserve">  0 – 39%</w:t>
            </w:r>
          </w:p>
        </w:tc>
        <w:tc>
          <w:tcPr>
            <w:tcW w:w="2410" w:type="dxa"/>
            <w:vAlign w:val="center"/>
          </w:tcPr>
          <w:p w14:paraId="3D06920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elégtelen (1)</w:t>
            </w:r>
          </w:p>
        </w:tc>
      </w:tr>
    </w:tbl>
    <w:p w14:paraId="10F68517" w14:textId="77777777" w:rsidR="007469C8" w:rsidRDefault="007469C8" w:rsidP="007469C8">
      <w:pPr>
        <w:widowControl w:val="0"/>
        <w:jc w:val="both"/>
        <w:rPr>
          <w:sz w:val="24"/>
          <w:szCs w:val="24"/>
        </w:rPr>
      </w:pPr>
    </w:p>
    <w:p w14:paraId="5C5C702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1BBF">
        <w:rPr>
          <w:rFonts w:ascii="Times New Roman" w:hAnsi="Times New Roman" w:cs="Times New Roman"/>
          <w:sz w:val="24"/>
          <w:szCs w:val="24"/>
        </w:rPr>
        <w:t>Ha a tanuló az írásbeli vizsgán nem éri el az elégségeshez szükséges 40 %-ot, akkor szóbeli vizsgát kell tennie</w:t>
      </w:r>
      <w:r>
        <w:rPr>
          <w:rFonts w:ascii="Times New Roman" w:hAnsi="Times New Roman" w:cs="Times New Roman"/>
          <w:sz w:val="24"/>
          <w:szCs w:val="24"/>
        </w:rPr>
        <w:t xml:space="preserve"> az adott évfolyam tananyagából.</w:t>
      </w:r>
    </w:p>
    <w:p w14:paraId="6147C68F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tételek között szerepel két fogalom értelmezése, egy könnyebb és egy összetetteb (egy vagy több kérdésből álló) feladat szerepel a meghatározott követelmények alapján.</w:t>
      </w:r>
    </w:p>
    <w:p w14:paraId="19994AD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eredménye 2/3, a szóbeli eredménye 1/3 arányban számít a végső értékelésnél, a matematika érettségihez hasonlóan.</w:t>
      </w:r>
    </w:p>
    <w:p w14:paraId="28D913B7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2AD625C1" w14:textId="6F609FC6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ezt foglaljuk össze.</w:t>
      </w:r>
    </w:p>
    <w:p w14:paraId="68DE5834" w14:textId="34EAA4AC" w:rsidR="00AD39C6" w:rsidRDefault="00AD39C6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3A15B" w14:textId="77777777" w:rsidR="00AD39C6" w:rsidRPr="00AD39C6" w:rsidRDefault="00AD39C6" w:rsidP="00AD39C6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AD39C6">
        <w:rPr>
          <w:rFonts w:ascii="Times New Roman" w:eastAsia="Calibri" w:hAnsi="Times New Roman" w:cs="Times New Roman"/>
          <w:i/>
          <w:sz w:val="24"/>
          <w:szCs w:val="24"/>
        </w:rPr>
        <w:t>Gondolkodási és megismerési módszerek</w:t>
      </w:r>
    </w:p>
    <w:p w14:paraId="53E1FEB1" w14:textId="4E2CEA96" w:rsidR="00AD39C6" w:rsidRPr="00AD39C6" w:rsidRDefault="00AD39C6" w:rsidP="00AD39C6">
      <w:pPr>
        <w:numPr>
          <w:ilvl w:val="0"/>
          <w:numId w:val="1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Halmazműveletek alkalmazása számhalmazokra, ponthalmazokra, intervallumokra, véges és végtelen halmazokra.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1FF4B607" w14:textId="77777777" w:rsidR="00AD39C6" w:rsidRPr="00AD39C6" w:rsidRDefault="00AD39C6" w:rsidP="00AD39C6">
      <w:pPr>
        <w:rPr>
          <w:rFonts w:ascii="Times New Roman" w:hAnsi="Times New Roman" w:cs="Times New Roman"/>
          <w:i/>
          <w:sz w:val="24"/>
          <w:szCs w:val="24"/>
        </w:rPr>
      </w:pPr>
      <w:r w:rsidRPr="00AD39C6">
        <w:rPr>
          <w:rFonts w:ascii="Times New Roman" w:hAnsi="Times New Roman" w:cs="Times New Roman"/>
          <w:i/>
          <w:sz w:val="24"/>
          <w:szCs w:val="24"/>
        </w:rPr>
        <w:t>Számelmélet, algebra</w:t>
      </w:r>
    </w:p>
    <w:p w14:paraId="09F7E956" w14:textId="77777777" w:rsidR="00AD39C6" w:rsidRPr="00AD39C6" w:rsidRDefault="00AD39C6" w:rsidP="00AD39C6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lastRenderedPageBreak/>
        <w:t>Racionális és irracionális számok – a valós számok halmazának szemléletes fogalma.</w:t>
      </w:r>
    </w:p>
    <w:p w14:paraId="06BF43F7" w14:textId="77777777" w:rsidR="00AD39C6" w:rsidRPr="00AD39C6" w:rsidRDefault="00AD39C6" w:rsidP="00AD39C6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Számok normálalakja, normálalakkal műveletek végzése.</w:t>
      </w:r>
    </w:p>
    <w:p w14:paraId="729F0549" w14:textId="77777777" w:rsidR="00AD39C6" w:rsidRPr="00AD39C6" w:rsidRDefault="00AD39C6" w:rsidP="00AD39C6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 xml:space="preserve">Arányosság, százalékszámítás </w:t>
      </w:r>
    </w:p>
    <w:p w14:paraId="599AC850" w14:textId="77777777" w:rsidR="00AD39C6" w:rsidRPr="00AD39C6" w:rsidRDefault="00AD39C6" w:rsidP="00AD39C6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Biztos műveletvégzés, műveletek sorrendje, zárójelek használata.</w:t>
      </w:r>
    </w:p>
    <w:p w14:paraId="22039C93" w14:textId="77777777" w:rsidR="00AD39C6" w:rsidRPr="00AD39C6" w:rsidRDefault="00AD39C6" w:rsidP="00AD39C6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Algebrai kifejezésekkel végzett műveletek, azonosságok alkalmazása.</w:t>
      </w:r>
    </w:p>
    <w:p w14:paraId="7F9A8260" w14:textId="77777777" w:rsidR="00AD39C6" w:rsidRPr="00AD39C6" w:rsidRDefault="00AD39C6" w:rsidP="00AD39C6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Első egyenletek, egyenlőtlenségek, egyenletrendszerek megoldási módszereinek használata. Szöveges feladatok megoldása.</w:t>
      </w:r>
    </w:p>
    <w:p w14:paraId="658887F2" w14:textId="2C306E4F" w:rsidR="00AD39C6" w:rsidRPr="00AD39C6" w:rsidRDefault="00AD39C6" w:rsidP="00AD39C6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A számológép használata.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41D43E7C" w14:textId="77777777" w:rsidR="00AD39C6" w:rsidRPr="00AD39C6" w:rsidRDefault="00AD39C6" w:rsidP="00AD39C6">
      <w:pPr>
        <w:rPr>
          <w:rFonts w:ascii="Times New Roman" w:hAnsi="Times New Roman" w:cs="Times New Roman"/>
          <w:i/>
          <w:sz w:val="24"/>
          <w:szCs w:val="24"/>
        </w:rPr>
      </w:pPr>
      <w:r w:rsidRPr="00AD39C6">
        <w:rPr>
          <w:rFonts w:ascii="Times New Roman" w:hAnsi="Times New Roman" w:cs="Times New Roman"/>
          <w:i/>
          <w:sz w:val="24"/>
          <w:szCs w:val="24"/>
        </w:rPr>
        <w:t>Geometria</w:t>
      </w:r>
    </w:p>
    <w:p w14:paraId="066DE049" w14:textId="77777777" w:rsidR="00AD39C6" w:rsidRPr="00AD39C6" w:rsidRDefault="00AD39C6" w:rsidP="00AD39C6">
      <w:pPr>
        <w:numPr>
          <w:ilvl w:val="0"/>
          <w:numId w:val="3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Térelemek ismerete, a távolság és szög fogalmának értése, ismerete, a távolság és a szög mérése.</w:t>
      </w:r>
    </w:p>
    <w:p w14:paraId="4041FDB4" w14:textId="77777777" w:rsidR="00AD39C6" w:rsidRPr="00AD39C6" w:rsidRDefault="00AD39C6" w:rsidP="00AD39C6">
      <w:pPr>
        <w:numPr>
          <w:ilvl w:val="0"/>
          <w:numId w:val="3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A kör és részeinek ismerete.</w:t>
      </w:r>
    </w:p>
    <w:p w14:paraId="3EAEAA2C" w14:textId="77777777" w:rsidR="00AD39C6" w:rsidRPr="00AD39C6" w:rsidRDefault="00AD39C6" w:rsidP="00AD39C6">
      <w:pPr>
        <w:numPr>
          <w:ilvl w:val="0"/>
          <w:numId w:val="3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Háromszögek szögeinek, nevezetes vonalainak, köreinek ismerete. Az ismeretek alkalmazása számítási, szerkesztési és bizonyítási feladatokban.</w:t>
      </w:r>
    </w:p>
    <w:p w14:paraId="4DC33446" w14:textId="5904A32A" w:rsidR="00AD39C6" w:rsidRPr="00AD39C6" w:rsidRDefault="00AD39C6" w:rsidP="00AD39C6">
      <w:pPr>
        <w:numPr>
          <w:ilvl w:val="0"/>
          <w:numId w:val="3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A Pitagorasz-tétel és a Thalész-tétel alkalmazásai.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54B9368C" w14:textId="77777777" w:rsidR="00AD39C6" w:rsidRPr="00AD39C6" w:rsidRDefault="00AD39C6" w:rsidP="00AD39C6">
      <w:pPr>
        <w:rPr>
          <w:rFonts w:ascii="Times New Roman" w:hAnsi="Times New Roman" w:cs="Times New Roman"/>
          <w:i/>
          <w:sz w:val="24"/>
          <w:szCs w:val="24"/>
        </w:rPr>
      </w:pPr>
      <w:r w:rsidRPr="00AD39C6">
        <w:rPr>
          <w:rFonts w:ascii="Times New Roman" w:hAnsi="Times New Roman" w:cs="Times New Roman"/>
          <w:i/>
          <w:sz w:val="24"/>
          <w:szCs w:val="24"/>
        </w:rPr>
        <w:t>Függvények, az analízis elemei</w:t>
      </w:r>
    </w:p>
    <w:p w14:paraId="606E7FE2" w14:textId="77777777" w:rsidR="00AD39C6" w:rsidRPr="00AD39C6" w:rsidRDefault="00AD39C6" w:rsidP="00AD39C6">
      <w:pPr>
        <w:numPr>
          <w:ilvl w:val="0"/>
          <w:numId w:val="4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A függvény fogalmának mélyülése. Új függvényjellemzők ismerete: korlátosság, paritás.</w:t>
      </w:r>
    </w:p>
    <w:p w14:paraId="0A2CF7F1" w14:textId="77777777" w:rsidR="00AD39C6" w:rsidRPr="00AD39C6" w:rsidRDefault="00AD39C6" w:rsidP="00AD39C6">
      <w:pPr>
        <w:numPr>
          <w:ilvl w:val="0"/>
          <w:numId w:val="4"/>
        </w:numPr>
        <w:spacing w:after="0" w:line="240" w:lineRule="auto"/>
        <w:ind w:left="167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Többlépéses függvénytranszformációk elvégzése</w:t>
      </w:r>
      <w:r w:rsidRPr="00AD39C6">
        <w:rPr>
          <w:rFonts w:ascii="Times New Roman" w:hAnsi="Times New Roman" w:cs="Times New Roman"/>
          <w:position w:val="-10"/>
          <w:sz w:val="24"/>
          <w:szCs w:val="24"/>
        </w:rPr>
        <w:object w:dxaOrig="840" w:dyaOrig="340" w14:anchorId="576C83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9pt;height:15.55pt" o:ole="">
            <v:imagedata r:id="rId5" o:title=""/>
          </v:shape>
          <o:OLEObject Type="Embed" ProgID="Equation.3" ShapeID="_x0000_i1025" DrawAspect="Content" ObjectID="_1703605193" r:id="rId6"/>
        </w:object>
      </w:r>
      <w:r w:rsidRPr="00AD39C6">
        <w:rPr>
          <w:rFonts w:ascii="Times New Roman" w:hAnsi="Times New Roman" w:cs="Times New Roman"/>
          <w:sz w:val="24"/>
          <w:szCs w:val="24"/>
        </w:rPr>
        <w:t xml:space="preserve">; </w:t>
      </w:r>
      <w:r w:rsidRPr="00AD39C6">
        <w:rPr>
          <w:rFonts w:ascii="Times New Roman" w:hAnsi="Times New Roman" w:cs="Times New Roman"/>
          <w:position w:val="-10"/>
          <w:sz w:val="24"/>
          <w:szCs w:val="24"/>
        </w:rPr>
        <w:object w:dxaOrig="840" w:dyaOrig="340" w14:anchorId="78EE98BE">
          <v:shape id="_x0000_i1026" type="#_x0000_t75" style="width:40.9pt;height:15.55pt" o:ole="">
            <v:imagedata r:id="rId7" o:title=""/>
          </v:shape>
          <o:OLEObject Type="Embed" ProgID="Equation.3" ShapeID="_x0000_i1026" DrawAspect="Content" ObjectID="_1703605194" r:id="rId8"/>
        </w:object>
      </w:r>
      <w:r w:rsidRPr="00AD39C6">
        <w:rPr>
          <w:rFonts w:ascii="Times New Roman" w:hAnsi="Times New Roman" w:cs="Times New Roman"/>
          <w:sz w:val="24"/>
          <w:szCs w:val="24"/>
        </w:rPr>
        <w:t xml:space="preserve">; </w:t>
      </w:r>
      <w:r w:rsidRPr="00AD39C6">
        <w:rPr>
          <w:rFonts w:ascii="Times New Roman" w:hAnsi="Times New Roman" w:cs="Times New Roman"/>
          <w:position w:val="-10"/>
          <w:sz w:val="24"/>
          <w:szCs w:val="24"/>
        </w:rPr>
        <w:object w:dxaOrig="740" w:dyaOrig="340" w14:anchorId="7466AD7A">
          <v:shape id="_x0000_i1027" type="#_x0000_t75" style="width:36.25pt;height:15.55pt" o:ole="">
            <v:imagedata r:id="rId9" o:title=""/>
          </v:shape>
          <o:OLEObject Type="Embed" ProgID="Equation.3" ShapeID="_x0000_i1027" DrawAspect="Content" ObjectID="_1703605195" r:id="rId10"/>
        </w:object>
      </w:r>
      <w:r w:rsidRPr="00AD39C6">
        <w:rPr>
          <w:rFonts w:ascii="Times New Roman" w:hAnsi="Times New Roman" w:cs="Times New Roman"/>
          <w:sz w:val="24"/>
          <w:szCs w:val="24"/>
        </w:rPr>
        <w:t xml:space="preserve">; </w:t>
      </w:r>
      <w:r w:rsidRPr="00AD39C6">
        <w:rPr>
          <w:rFonts w:ascii="Times New Roman" w:hAnsi="Times New Roman" w:cs="Times New Roman"/>
          <w:position w:val="-10"/>
          <w:sz w:val="24"/>
          <w:szCs w:val="24"/>
        </w:rPr>
        <w:object w:dxaOrig="740" w:dyaOrig="340" w14:anchorId="221A1649">
          <v:shape id="_x0000_i1028" type="#_x0000_t75" style="width:36.25pt;height:15.55pt" o:ole="">
            <v:imagedata r:id="rId11" o:title=""/>
          </v:shape>
          <o:OLEObject Type="Embed" ProgID="Equation.3" ShapeID="_x0000_i1028" DrawAspect="Content" ObjectID="_1703605196" r:id="rId12"/>
        </w:object>
      </w:r>
      <w:r w:rsidRPr="00AD39C6">
        <w:rPr>
          <w:rFonts w:ascii="Times New Roman" w:hAnsi="Times New Roman" w:cs="Times New Roman"/>
          <w:sz w:val="24"/>
          <w:szCs w:val="24"/>
        </w:rPr>
        <w:t xml:space="preserve">; </w:t>
      </w:r>
      <w:r w:rsidRPr="00AD39C6">
        <w:rPr>
          <w:rFonts w:ascii="Times New Roman" w:hAnsi="Times New Roman" w:cs="Times New Roman"/>
          <w:position w:val="-14"/>
          <w:sz w:val="24"/>
          <w:szCs w:val="24"/>
        </w:rPr>
        <w:object w:dxaOrig="580" w:dyaOrig="400" w14:anchorId="5DD5B6D3">
          <v:shape id="_x0000_i1029" type="#_x0000_t75" style="width:31.1pt;height:20.2pt" o:ole="">
            <v:imagedata r:id="rId13" o:title=""/>
          </v:shape>
          <o:OLEObject Type="Embed" ProgID="Equation.3" ShapeID="_x0000_i1029" DrawAspect="Content" ObjectID="_1703605197" r:id="rId14"/>
        </w:object>
      </w:r>
      <w:r w:rsidRPr="00AD39C6">
        <w:rPr>
          <w:rFonts w:ascii="Times New Roman" w:hAnsi="Times New Roman" w:cs="Times New Roman"/>
          <w:sz w:val="24"/>
          <w:szCs w:val="24"/>
        </w:rPr>
        <w:t xml:space="preserve"> felhasználásával.</w:t>
      </w:r>
    </w:p>
    <w:p w14:paraId="28BC35E6" w14:textId="7A308F2C" w:rsidR="00AD39C6" w:rsidRPr="00AD39C6" w:rsidRDefault="00AD39C6" w:rsidP="00AD39C6">
      <w:pPr>
        <w:jc w:val="both"/>
        <w:rPr>
          <w:rFonts w:ascii="Times New Roman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Mindennapjainkhoz, más tantárgyakhoz kapcsolódó folyamatok elemzése a megfelelő függvény grafikonja alapján.</w:t>
      </w:r>
    </w:p>
    <w:p w14:paraId="26C5816C" w14:textId="77777777" w:rsidR="00602A27" w:rsidRPr="00AD39C6" w:rsidRDefault="00602A27">
      <w:pPr>
        <w:rPr>
          <w:rFonts w:ascii="Times New Roman" w:hAnsi="Times New Roman" w:cs="Times New Roman"/>
          <w:sz w:val="24"/>
          <w:szCs w:val="24"/>
        </w:rPr>
      </w:pPr>
    </w:p>
    <w:sectPr w:rsidR="00602A27" w:rsidRPr="00AD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5A23"/>
    <w:multiLevelType w:val="hybridMultilevel"/>
    <w:tmpl w:val="5074E9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86667"/>
    <w:multiLevelType w:val="hybridMultilevel"/>
    <w:tmpl w:val="9208AE9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A2473"/>
    <w:multiLevelType w:val="hybridMultilevel"/>
    <w:tmpl w:val="0730256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2374E"/>
    <w:multiLevelType w:val="hybridMultilevel"/>
    <w:tmpl w:val="FA927ED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C8"/>
    <w:rsid w:val="00602A27"/>
    <w:rsid w:val="007469C8"/>
    <w:rsid w:val="008E5AAA"/>
    <w:rsid w:val="00AD39C6"/>
    <w:rsid w:val="00B3081B"/>
    <w:rsid w:val="00D027EA"/>
    <w:rsid w:val="00F7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6722"/>
  <w15:chartTrackingRefBased/>
  <w15:docId w15:val="{17D5D2FA-DAE5-4B26-B1DC-B3A697B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9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9C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74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pmartonmaria@sulid.hu</cp:lastModifiedBy>
  <cp:revision>4</cp:revision>
  <dcterms:created xsi:type="dcterms:W3CDTF">2022-01-13T17:47:00Z</dcterms:created>
  <dcterms:modified xsi:type="dcterms:W3CDTF">2022-01-13T17:50:00Z</dcterms:modified>
</cp:coreProperties>
</file>